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ind w:firstLine="709"/>
        <w:jc w:val="right"/>
        <w:rPr>
          <w:rFonts w:ascii="Times New Roman" w:hAnsi="Times New Roman"/>
          <w:i/>
          <w:color w:val="000000" w:themeColor="text1"/>
          <w:szCs w:val="28"/>
        </w:rPr>
      </w:pPr>
      <w:r>
        <w:rPr>
          <w:rFonts w:ascii="Times New Roman" w:hAnsi="Times New Roman"/>
          <w:i/>
          <w:color w:val="000000" w:themeColor="text1"/>
          <w:szCs w:val="28"/>
        </w:rPr>
        <w:t xml:space="preserve">Приложение № 1</w:t>
      </w:r>
      <w:r>
        <w:rPr>
          <w:rFonts w:ascii="Times New Roman" w:hAnsi="Times New Roman"/>
          <w:i/>
          <w:color w:val="000000" w:themeColor="text1"/>
          <w:szCs w:val="28"/>
        </w:rPr>
      </w:r>
    </w:p>
    <w:p>
      <w:pPr>
        <w:pStyle w:val="631"/>
        <w:ind w:firstLine="709"/>
        <w:jc w:val="right"/>
        <w:rPr>
          <w:rFonts w:ascii="Times New Roman" w:hAnsi="Times New Roman"/>
          <w:i/>
          <w:color w:val="000000" w:themeColor="text1"/>
          <w:szCs w:val="28"/>
        </w:rPr>
      </w:pPr>
      <w:r>
        <w:rPr>
          <w:rFonts w:ascii="Times New Roman" w:hAnsi="Times New Roman"/>
          <w:i/>
          <w:color w:val="000000" w:themeColor="text1"/>
          <w:szCs w:val="28"/>
        </w:rPr>
        <w:t xml:space="preserve"> к приказу </w:t>
      </w:r>
      <w:r>
        <w:rPr>
          <w:rFonts w:ascii="Times New Roman" w:hAnsi="Times New Roman"/>
          <w:i/>
          <w:color w:val="000000" w:themeColor="text1"/>
          <w:szCs w:val="28"/>
        </w:rPr>
        <w:t xml:space="preserve">Северо-Кавказского</w:t>
      </w:r>
      <w:r>
        <w:rPr>
          <w:rFonts w:ascii="Times New Roman" w:hAnsi="Times New Roman"/>
          <w:i/>
          <w:color w:val="000000" w:themeColor="text1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Cs w:val="28"/>
        </w:rPr>
      </w:r>
    </w:p>
    <w:p>
      <w:pPr>
        <w:pStyle w:val="631"/>
        <w:ind w:firstLine="709"/>
        <w:jc w:val="right"/>
        <w:rPr>
          <w:rFonts w:ascii="Times New Roman" w:hAnsi="Times New Roman"/>
          <w:i/>
          <w:color w:val="000000" w:themeColor="text1"/>
          <w:szCs w:val="28"/>
        </w:rPr>
      </w:pPr>
      <w:r>
        <w:rPr>
          <w:rFonts w:ascii="Times New Roman" w:hAnsi="Times New Roman"/>
          <w:i/>
          <w:color w:val="000000" w:themeColor="text1"/>
          <w:szCs w:val="28"/>
        </w:rPr>
        <w:t xml:space="preserve">территориального управления </w:t>
      </w:r>
      <w:r>
        <w:rPr>
          <w:rFonts w:ascii="Times New Roman" w:hAnsi="Times New Roman"/>
          <w:i/>
          <w:color w:val="000000" w:themeColor="text1"/>
          <w:szCs w:val="28"/>
        </w:rPr>
      </w:r>
    </w:p>
    <w:p>
      <w:pPr>
        <w:pStyle w:val="631"/>
        <w:ind w:firstLine="709"/>
        <w:jc w:val="right"/>
        <w:rPr>
          <w:rFonts w:ascii="Times New Roman" w:hAnsi="Times New Roman"/>
          <w:i/>
          <w:color w:val="000000" w:themeColor="text1"/>
          <w:szCs w:val="28"/>
        </w:rPr>
      </w:pPr>
      <w:r>
        <w:rPr>
          <w:rFonts w:ascii="Times New Roman" w:hAnsi="Times New Roman"/>
          <w:i/>
          <w:color w:val="000000" w:themeColor="text1"/>
          <w:szCs w:val="28"/>
        </w:rPr>
        <w:t xml:space="preserve">Росрыболовства</w:t>
      </w:r>
      <w:r>
        <w:rPr>
          <w:rFonts w:ascii="Times New Roman" w:hAnsi="Times New Roman"/>
          <w:i/>
          <w:color w:val="000000" w:themeColor="text1"/>
          <w:szCs w:val="28"/>
        </w:rPr>
      </w:r>
    </w:p>
    <w:p>
      <w:pPr>
        <w:pStyle w:val="631"/>
        <w:ind w:firstLine="709"/>
        <w:jc w:val="center"/>
        <w:rPr>
          <w:rFonts w:ascii="Times New Roman" w:hAnsi="Times New Roman"/>
          <w:b/>
          <w:i/>
          <w:color w:val="000000" w:themeColor="text1"/>
          <w:szCs w:val="28"/>
        </w:rPr>
      </w:pPr>
      <w:r>
        <w:rPr>
          <w:rFonts w:ascii="Times New Roman" w:hAnsi="Times New Roman"/>
          <w:b/>
          <w:i/>
          <w:color w:val="000000" w:themeColor="text1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i/>
          <w:color w:val="000000" w:themeColor="text1"/>
          <w:szCs w:val="28"/>
        </w:rPr>
        <w:t xml:space="preserve">от </w:t>
      </w:r>
      <w:r>
        <w:rPr>
          <w:rFonts w:ascii="Times New Roman" w:hAnsi="Times New Roman"/>
          <w:b/>
          <w:i/>
          <w:color w:val="000000" w:themeColor="text1"/>
          <w:szCs w:val="28"/>
        </w:rPr>
        <w:t xml:space="preserve">« </w:t>
      </w:r>
      <w:r>
        <w:rPr>
          <w:rFonts w:ascii="Times New Roman" w:hAnsi="Times New Roman"/>
          <w:b/>
          <w:i/>
          <w:color w:val="000000" w:themeColor="text1"/>
          <w:szCs w:val="28"/>
        </w:rPr>
        <w:t xml:space="preserve">  </w:t>
      </w:r>
      <w:r>
        <w:rPr>
          <w:rFonts w:ascii="Times New Roman" w:hAnsi="Times New Roman"/>
          <w:b/>
          <w:i/>
          <w:color w:val="000000" w:themeColor="text1"/>
          <w:szCs w:val="28"/>
          <w:u w:val="single"/>
        </w:rPr>
        <w:t xml:space="preserve">14</w:t>
      </w:r>
      <w:r>
        <w:rPr>
          <w:rFonts w:ascii="Times New Roman" w:hAnsi="Times New Roman"/>
          <w:b/>
          <w:i/>
          <w:color w:val="000000" w:themeColor="text1"/>
          <w:szCs w:val="28"/>
          <w:u w:val="single"/>
        </w:rPr>
        <w:t xml:space="preserve">.04.2025 г</w:t>
      </w:r>
      <w:r>
        <w:rPr>
          <w:rFonts w:ascii="Times New Roman" w:hAnsi="Times New Roman"/>
          <w:b/>
          <w:i/>
          <w:color w:val="000000" w:themeColor="text1"/>
          <w:szCs w:val="28"/>
          <w:u w:val="single"/>
        </w:rPr>
        <w:t xml:space="preserve">.</w:t>
      </w:r>
      <w:r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Cs w:val="28"/>
        </w:rPr>
        <w:t xml:space="preserve"> » №</w:t>
      </w:r>
      <w:r>
        <w:rPr>
          <w:rFonts w:ascii="Times New Roman" w:hAnsi="Times New Roman"/>
          <w:b/>
          <w:i/>
          <w:color w:val="000000" w:themeColor="text1"/>
          <w:szCs w:val="28"/>
        </w:rPr>
        <w:t xml:space="preserve">45</w:t>
      </w:r>
      <w:r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/>
          <w:b/>
          <w:i/>
          <w:color w:val="000000" w:themeColor="text1"/>
          <w:szCs w:val="28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Cs w:val="28"/>
          <w:u w:val="single"/>
        </w:rPr>
        <w:t xml:space="preserve">  </w:t>
      </w:r>
      <w:r>
        <w:rPr>
          <w:rFonts w:ascii="Times New Roman" w:hAnsi="Times New Roman"/>
          <w:b/>
          <w:i/>
          <w:color w:val="000000" w:themeColor="text1"/>
          <w:szCs w:val="28"/>
        </w:rPr>
      </w:r>
    </w:p>
    <w:p>
      <w:pPr>
        <w:pStyle w:val="631"/>
        <w:ind w:firstLine="709"/>
        <w:jc w:val="right"/>
        <w:rPr>
          <w:rFonts w:ascii="Times New Roman" w:hAnsi="Times New Roman"/>
          <w:i/>
          <w:color w:val="000000" w:themeColor="text1"/>
          <w:szCs w:val="28"/>
          <w:u w:val="single"/>
        </w:rPr>
      </w:pPr>
      <w:r>
        <w:rPr>
          <w:rFonts w:ascii="Times New Roman" w:hAnsi="Times New Roman"/>
          <w:i/>
          <w:color w:val="000000" w:themeColor="text1"/>
          <w:szCs w:val="28"/>
          <w:u w:val="single"/>
        </w:rPr>
      </w:r>
      <w:r>
        <w:rPr>
          <w:rFonts w:ascii="Times New Roman" w:hAnsi="Times New Roman"/>
          <w:i/>
          <w:color w:val="000000" w:themeColor="text1"/>
          <w:szCs w:val="28"/>
          <w:u w:val="single"/>
        </w:rPr>
      </w:r>
    </w:p>
    <w:p>
      <w:pPr>
        <w:pStyle w:val="631"/>
        <w:ind w:firstLine="709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ИЗВЕЩЕНИЕ</w:t>
      </w:r>
      <w:r>
        <w:rPr>
          <w:rFonts w:ascii="Times New Roman" w:hAnsi="Times New Roman"/>
          <w:b/>
          <w:color w:val="000000" w:themeColor="text1"/>
        </w:rPr>
      </w:r>
    </w:p>
    <w:p>
      <w:pPr>
        <w:pStyle w:val="633"/>
        <w:jc w:val="center"/>
        <w:rPr>
          <w:rFonts w:ascii="Times New Roman" w:hAnsi="Times New Roman" w:eastAsia="Times New Roman"/>
          <w:b/>
          <w:color w:val="000000" w:themeColor="text1"/>
          <w:sz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О проведен</w:t>
      </w:r>
      <w:r>
        <w:rPr>
          <w:rFonts w:ascii="Times New Roman" w:hAnsi="Times New Roman"/>
          <w:b/>
          <w:color w:val="000000" w:themeColor="text1"/>
          <w:sz w:val="24"/>
        </w:rPr>
        <w:t xml:space="preserve">ии ау</w:t>
      </w:r>
      <w:r>
        <w:rPr>
          <w:rFonts w:ascii="Times New Roman" w:hAnsi="Times New Roman"/>
          <w:b/>
          <w:color w:val="000000" w:themeColor="text1"/>
          <w:sz w:val="24"/>
        </w:rPr>
        <w:t xml:space="preserve">кциона в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электронной форме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 w:eastAsia="Times New Roman"/>
          <w:b/>
          <w:color w:val="000000" w:themeColor="text1"/>
          <w:sz w:val="24"/>
          <w:lang w:eastAsia="ru-RU"/>
        </w:rPr>
        <w:t xml:space="preserve">на право заключения договора пользования рыбоводным участком, расположенным на водном объекте или его части, прилегающем к территориям муниципального образования   </w:t>
      </w:r>
      <w:bookmarkStart w:id="1" w:name="OLE_LINK1"/>
      <w:r/>
      <w:bookmarkStart w:id="2" w:name="OLE_LINK2"/>
      <w:r>
        <w:rPr>
          <w:rFonts w:ascii="Times New Roman" w:hAnsi="Times New Roman" w:eastAsia="Times New Roman"/>
          <w:b/>
          <w:color w:val="000000" w:themeColor="text1"/>
          <w:sz w:val="24"/>
          <w:lang w:eastAsia="ru-RU"/>
        </w:rPr>
        <w:t xml:space="preserve">Республики Дагеста</w:t>
      </w:r>
      <w:bookmarkEnd w:id="1"/>
      <w:r/>
      <w:bookmarkEnd w:id="2"/>
      <w:r>
        <w:rPr>
          <w:rFonts w:ascii="Times New Roman" w:hAnsi="Times New Roman" w:eastAsia="Times New Roman"/>
          <w:b/>
          <w:color w:val="000000" w:themeColor="text1"/>
          <w:sz w:val="24"/>
          <w:lang w:eastAsia="ru-RU"/>
        </w:rPr>
        <w:t xml:space="preserve">н</w:t>
      </w:r>
      <w:r>
        <w:rPr>
          <w:rFonts w:ascii="Times New Roman" w:hAnsi="Times New Roman" w:eastAsia="Times New Roman"/>
          <w:b/>
          <w:color w:val="000000" w:themeColor="text1"/>
          <w:sz w:val="24"/>
          <w:lang w:eastAsia="ru-RU"/>
        </w:rPr>
      </w:r>
    </w:p>
    <w:p>
      <w:pPr>
        <w:pStyle w:val="635"/>
        <w:numPr>
          <w:ilvl w:val="0"/>
          <w:numId w:val="5"/>
        </w:numPr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Организатор аукциона в электронной форме и реквизиты решения о проведен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ии ау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кциона в электронной форме;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ind w:firstLine="525"/>
        <w:keepNext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Северо-Кавказское территориальное управление Федерального агентства по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рыболовству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ешение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проведении аукциона принято в соответствии с приказом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Северо-Кавказского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территориального управления Федерального агентства по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рыболовству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от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keepNext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14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_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04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2025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г. №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45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</w:r>
    </w:p>
    <w:p>
      <w:pPr>
        <w:contextualSpacing/>
        <w:ind w:firstLine="540"/>
        <w:jc w:val="both"/>
        <w:keepNext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2. Место нахождения, адрес электронной почты и телефон организатора аукциона в электронной форме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</w:p>
    <w:p>
      <w:pPr>
        <w:contextualSpacing/>
        <w:jc w:val="both"/>
        <w:keepNext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Место нахождения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Республика Дагестан, 367000, г. Махачкала, ул. Танкаева, 67.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</w:p>
    <w:p>
      <w:pPr>
        <w:ind w:right="5"/>
        <w:spacing w:after="0" w:line="264" w:lineRule="exact"/>
        <w:shd w:val="clear" w:color="auto" w:fill="ffffff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Адрес электронной почты: </w:t>
      </w:r>
      <w:r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info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@</w:t>
      </w:r>
      <w:r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sktu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.</w:t>
      </w:r>
      <w:r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fish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.</w:t>
      </w:r>
      <w:r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gov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.</w:t>
      </w:r>
      <w:r>
        <w:rPr>
          <w:rFonts w:ascii="Times New Roman" w:hAnsi="Times New Roman"/>
          <w:color w:val="000000" w:themeColor="text1"/>
          <w:shd w:val="clear" w:color="auto" w:fill="ffffff"/>
          <w:lang w:val="en-US"/>
        </w:rPr>
        <w:t xml:space="preserve">ru</w:t>
      </w:r>
      <w:r>
        <w:rPr>
          <w:rFonts w:ascii="Times New Roman" w:hAnsi="Times New Roman"/>
          <w:bCs/>
          <w:color w:val="000000" w:themeColor="text1"/>
        </w:rPr>
      </w:r>
    </w:p>
    <w:p>
      <w:pPr>
        <w:ind w:left="540"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Контак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тные телефоны: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8(8722)64-01-67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(Отдел среды обитания и организации воспроизводства водных биологических ресурсов).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540"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3. Оператор электронной площадки, на которой планируется проведение аукциона в электронной площадке;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tooltip="https://lot-online.ru/" w:history="1">
        <w:r>
          <w:rPr>
            <w:rStyle w:val="632"/>
            <w:rFonts w:ascii="Times New Roman" w:hAnsi="Times New Roman"/>
            <w:color w:val="000000" w:themeColor="text1"/>
            <w:sz w:val="28"/>
            <w:szCs w:val="28"/>
          </w:rPr>
          <w:t xml:space="preserve">https://lot-online.ru/</w:t>
        </w:r>
      </w:hyperlink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электронной площадке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АО «Российский аукционный дом»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history="1">
        <w:r>
          <w:rPr>
            <w:rStyle w:val="632"/>
            <w:rFonts w:ascii="Times New Roman" w:hAnsi="Times New Roman"/>
            <w:color w:val="000000" w:themeColor="text1"/>
            <w:sz w:val="28"/>
            <w:szCs w:val="28"/>
          </w:rPr>
          <w:t xml:space="preserve">https://178fz.lot-online.ru /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; соответственно.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left="540"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540"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540"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540"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540"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540"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540"/>
        <w:jc w:val="both"/>
        <w:keepNext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4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Предмет аукциона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электронной форме, в том числе сведения о рыбоводном участке, включая его местоположение, площадь, границы, географическую карту и (или) схему рыбоводного участка, а также ограничения, связанные с использованием рыбоводного участка.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r>
    </w:p>
    <w:p>
      <w:pPr>
        <w:contextualSpacing/>
        <w:ind w:firstLine="540"/>
        <w:jc w:val="both"/>
        <w:keepNext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Предмет договора, включающий срок договора, местоположение и площадь рыбоводного участка; минимальный объем и видовой состав объектов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аквакультуры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определенные в соответствии с методикой, утвержденной Министерством сельского хозяйства Российской Федерации;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основания и условия, определяющие изъятие объектов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аквакультуры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из водных объектов в границах рыбоводного участка; сведения об объектах рыбовод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обязательства рыбоводного хозяйства представлять в порядке, установленном Министерством сельского хозяйства Российской Федерации, отчетность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объеме выпуска в водные объекты и объеме изъятия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 водных объектов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аквакультуры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В соответствии с частью 3,4 статьи 9 Федерального закона от 02.07.2013г. №148-фз « Об 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аквакультуре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Федерации»;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Договор пользования рыбоводным участком подлежит досрочному расторж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ению в соответствии с гражданским законодательством в одностороннем порядке по требованию собственника рыбоводного участка в случае использования рыбоводного участка с нарушением требований федеральных законов или неосуществления рыбоводным хозяйством в те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чение двух лет подряд деятельности, предусмотренной договором пользования рыбоводным участком,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деятельности.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</w:r>
    </w:p>
    <w:p>
      <w:pPr>
        <w:ind w:firstLine="708"/>
        <w:jc w:val="both"/>
        <w:spacing w:before="200" w:after="0" w:line="240" w:lineRule="auto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Изменение существенных условий договора пользования рыбоводным участком, а также передача, уступка прав третьим лицам по такому договору не допускаются.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</w:r>
    </w:p>
    <w:p>
      <w:pPr>
        <w:contextualSpacing/>
        <w:ind w:firstLine="540"/>
        <w:jc w:val="both"/>
        <w:keepNext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jc w:val="both"/>
        <w:keepNext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434"/>
        <w:gridCol w:w="1968"/>
        <w:gridCol w:w="1134"/>
        <w:gridCol w:w="2023"/>
        <w:gridCol w:w="1096"/>
      </w:tblGrid>
      <w:tr>
        <w:tblPrEx/>
        <w:trPr>
          <w:cantSplit/>
          <w:trHeight w:val="1043"/>
        </w:trPr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pStyle w:val="635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635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/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vMerge w:val="restart"/>
            <w:textDirection w:val="lrTb"/>
            <w:noWrap w:val="false"/>
          </w:tcPr>
          <w:p>
            <w:pPr>
              <w:pStyle w:val="635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Сведения о рыбоводном участке и местоположение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402" w:type="dxa"/>
            <w:vMerge w:val="restart"/>
            <w:textDirection w:val="lrTb"/>
            <w:noWrap w:val="false"/>
          </w:tcPr>
          <w:p>
            <w:pPr>
              <w:pStyle w:val="635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Координаты рыбоводного участка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635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(система координат (Лот№1-1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WGS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-05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635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pStyle w:val="635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Вид водопользования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2023" w:type="dxa"/>
            <w:vMerge w:val="restart"/>
            <w:textDirection w:val="lrTb"/>
            <w:noWrap w:val="false"/>
          </w:tcPr>
          <w:p>
            <w:pPr>
              <w:pStyle w:val="635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Описание границ рыбоводного участка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096" w:type="dxa"/>
            <w:vMerge w:val="restart"/>
            <w:textDirection w:val="lrTb"/>
            <w:noWrap w:val="false"/>
          </w:tcPr>
          <w:p>
            <w:pPr>
              <w:pStyle w:val="635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Площадь рыбоводного участка,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га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354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pStyle w:val="63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pStyle w:val="635"/>
              <w:ind w:left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Чиркейское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водохранилище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Ахсу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Буйнакский район Республика Дагестан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r>
          </w:p>
        </w:tc>
        <w:tc>
          <w:tcPr>
            <w:shd w:val="clear" w:color="auto" w:fill="auto"/>
            <w:tcW w:w="1434" w:type="dxa"/>
            <w:textDirection w:val="lrTb"/>
            <w:noWrap w:val="false"/>
          </w:tcPr>
          <w:p>
            <w:pPr>
              <w:pStyle w:val="635"/>
              <w:ind w:left="0"/>
              <w:spacing w:line="360" w:lineRule="auto"/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  <w:highlight w:val="green"/>
              </w:rPr>
            </w:r>
            <w:r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  <w:highlight w:val="green"/>
              </w:rPr>
            </w:r>
          </w:p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1"/>
            </w:tblGrid>
            <w:tr>
              <w:tblPrEx/>
              <w:trPr>
                <w:trHeight w:val="24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42.955932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42.953391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42.953509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42.952839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42.953068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42.952926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42.953083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42.953075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42.953343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42.953280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42.953304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42.954013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411" w:type="dxa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42.953832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42.954691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42..955250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42.955253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42.956262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  <w:p>
                  <w:pPr>
                    <w:jc w:val="center"/>
                    <w:spacing w:line="240" w:lineRule="auto"/>
                    <w:tabs>
                      <w:tab w:val="left" w:pos="6377" w:leader="none"/>
                    </w:tabs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42.956380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635"/>
              <w:ind w:left="0"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r>
          </w:p>
        </w:tc>
        <w:tc>
          <w:tcPr>
            <w:shd w:val="clear" w:color="auto" w:fill="auto"/>
            <w:tcW w:w="1968" w:type="dxa"/>
            <w:textDirection w:val="lrTb"/>
            <w:noWrap w:val="false"/>
          </w:tcPr>
          <w:tbl>
            <w:tblPr>
              <w:tblStyle w:val="639"/>
              <w:tblW w:w="1757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1757"/>
            </w:tblGrid>
            <w:tr>
              <w:tblPrEx/>
              <w:trPr>
                <w:trHeight w:val="340"/>
              </w:trPr>
              <w:tc>
                <w:tcPr>
                  <w:tcW w:w="1757" w:type="dxa"/>
                  <w:textDirection w:val="lrTb"/>
                  <w:noWrap w:val="false"/>
                </w:tcPr>
                <w:p>
                  <w:pPr>
                    <w:pStyle w:val="638"/>
                    <w:ind w:left="6"/>
                    <w:jc w:val="left"/>
                    <w:spacing w:before="0"/>
                    <w:rPr>
                      <w:color w:val="000000" w:themeColor="text1"/>
                      <w:sz w:val="20"/>
                      <w:szCs w:val="20"/>
                      <w:highlight w:val="green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highlight w:val="green"/>
                    </w:rPr>
                  </w:r>
                  <w:r>
                    <w:rPr>
                      <w:color w:val="000000" w:themeColor="text1"/>
                      <w:sz w:val="20"/>
                      <w:szCs w:val="20"/>
                      <w:highlight w:val="green"/>
                    </w:rPr>
                  </w:r>
                </w:p>
              </w:tc>
            </w:tr>
            <w:tr>
              <w:tblPrEx/>
              <w:trPr>
                <w:trHeight w:val="340"/>
              </w:trPr>
              <w:tc>
                <w:tcPr>
                  <w:tcW w:w="1757" w:type="dxa"/>
                  <w:textDirection w:val="lrTb"/>
                  <w:noWrap w:val="false"/>
                </w:tcPr>
                <w:tbl>
                  <w:tblPr>
                    <w:tblW w:w="0" w:type="auto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71"/>
                  </w:tblGrid>
                  <w:tr>
                    <w:tblPrEx/>
                    <w:trPr>
                      <w:trHeight w:val="241"/>
                    </w:trPr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46.865096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46.859352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46.859352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46.855586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46.854803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46.852175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46.850887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46.851842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46.852969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46.854063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46.856466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46.856488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371" w:type="dxa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46.858108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46.860758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46.861176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46.862217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46.863150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jc w:val="center"/>
                          <w:spacing w:line="240" w:lineRule="auto"/>
                          <w:tabs>
                            <w:tab w:val="left" w:pos="6377" w:leader="none"/>
                          </w:tabs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46.864491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В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638"/>
                    <w:jc w:val="left"/>
                    <w:spacing w:before="0"/>
                    <w:rPr>
                      <w:color w:val="000000" w:themeColor="text1"/>
                      <w:sz w:val="20"/>
                      <w:szCs w:val="20"/>
                      <w:highlight w:val="green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highlight w:val="green"/>
                    </w:rPr>
                  </w:r>
                  <w:r>
                    <w:rPr>
                      <w:color w:val="000000" w:themeColor="text1"/>
                      <w:sz w:val="20"/>
                      <w:szCs w:val="20"/>
                      <w:highlight w:val="green"/>
                    </w:rPr>
                  </w:r>
                </w:p>
              </w:tc>
            </w:tr>
          </w:tbl>
          <w:p>
            <w:pPr>
              <w:pStyle w:val="635"/>
              <w:ind w:left="0"/>
              <w:jc w:val="both"/>
              <w:spacing w:line="192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  <w:lang w:val="en-US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  <w:lang w:val="en-US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635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Обособленное водопользование для осуществления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аквакультуры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2023" w:type="dxa"/>
            <w:textDirection w:val="lrTb"/>
            <w:noWrap w:val="false"/>
          </w:tcPr>
          <w:p>
            <w:pPr>
              <w:pStyle w:val="63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Часть акватории водного объекта, ограниченная последовательным соединением точек,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1-2, 2-3, 3-4, 4-5, 5-6,6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-7,7-8,8-9,9-10,10-11,11-12,12-13,13-14,14-15,15-16,16-17,17-18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,18-1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096" w:type="dxa"/>
            <w:textDirection w:val="lrTb"/>
            <w:noWrap w:val="false"/>
          </w:tcPr>
          <w:p>
            <w:pPr>
              <w:pStyle w:val="635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6,89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га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before="200" w:after="0" w:line="240" w:lineRule="auto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</w:r>
    </w:p>
    <w:p>
      <w:pPr>
        <w:ind w:firstLine="708"/>
        <w:jc w:val="both"/>
        <w:spacing w:before="200" w:after="0" w:line="240" w:lineRule="auto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</w:r>
    </w:p>
    <w:p>
      <w:pPr>
        <w:ind w:firstLine="708"/>
        <w:jc w:val="both"/>
        <w:spacing w:before="200" w:after="0" w:line="240" w:lineRule="auto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 xml:space="preserve">Схема водного объекта с границами рыбоводного участка № 1</w:t>
      </w:r>
      <w:r>
        <w:rPr>
          <w:rFonts w:ascii="Times New Roman" w:hAnsi="Times New Roman"/>
          <w:b/>
          <w:color w:val="000000" w:themeColor="text1"/>
        </w:rPr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 xml:space="preserve">                     </w:t>
      </w:r>
      <w:r>
        <w:rPr>
          <w:rFonts w:ascii="Times New Roman" w:hAnsi="Times New Roman"/>
          <w:color w:val="000000" w:themeColor="text1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Ахсу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Чиркейское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водохранилище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Буйнакский район Республика Дагестан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 w:themeColor="text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1060" cy="4200515"/>
                <wp:effectExtent l="19050" t="0" r="2540" b="0"/>
                <wp:docPr id="1" name="Рисунок 1" descr="C:\Users\eldarhanov_aa.ZKTU\Desktop\ki338h5z185kct5ezavaga68um3gon6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darhanov_aa.ZKTU\Desktop\ki338h5z185kct5ezavaga68um3gon6t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1060" cy="420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0pt;height:330.7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rFonts w:ascii="Times New Roman" w:hAnsi="Times New Roman"/>
          <w:b/>
          <w:color w:val="000000" w:themeColor="text1"/>
        </w:rPr>
      </w:pPr>
      <w:r>
        <w:rPr>
          <w:color w:val="000000" w:themeColor="text1"/>
        </w:rPr>
        <w:t xml:space="preserve">                                    </w:t>
      </w:r>
      <w:r>
        <w:rPr>
          <w:rFonts w:ascii="Times New Roman" w:hAnsi="Times New Roman"/>
          <w:b/>
          <w:color w:val="000000" w:themeColor="text1"/>
        </w:rPr>
      </w:r>
    </w:p>
    <w:p>
      <w:pPr>
        <w:contextualSpacing/>
        <w:ind w:firstLine="540"/>
        <w:jc w:val="both"/>
        <w:keepNext/>
        <w:spacing w:after="0" w:line="240" w:lineRule="auto"/>
        <w:shd w:val="clear" w:color="auto" w:fill="ffffff"/>
        <w:widowControl w:val="off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Срок договора в соответствии с частью 5 статьи 9 Федерального закона "Об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аквакультуре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(рыбоводстве) и о внесении изменений в отдельные законодательные акты Российской Федерации".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r>
    </w:p>
    <w:p>
      <w:pPr>
        <w:contextualSpacing/>
        <w:ind w:firstLine="540"/>
        <w:jc w:val="both"/>
        <w:keepNext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Договор пользования рыбоводным участком будет заключен с победителем аукциона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электронной форме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сроком на 25 (двадцать пять) лет.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ind w:right="5" w:firstLine="708"/>
        <w:jc w:val="both"/>
        <w:spacing w:after="0" w:line="264" w:lineRule="exact"/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Дата, время начала и окончания срока подачи заявок об участии в аукционе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электронной форме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Дата, время начала срока подачи заявок: 10:00 (в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ремя московское)   15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.04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.202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Дата, время окончания срока подачи заявок: 11:00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(время московское) 14.05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2025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r>
    </w:p>
    <w:p>
      <w:pPr>
        <w:contextualSpacing/>
        <w:ind w:firstLine="540"/>
        <w:jc w:val="both"/>
        <w:keepNext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7.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Дата и время подачи предложений о цене предмета аукциона в электронной форме.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Ход проведения процедуры подачи предложений о цене ф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иксируется оператором электронной площадки в электронном журнале, который направляется организатору аукциона в электронной форме в течение одного часа с момента завершения приема предложений о цене. Дата и время проведения  аукциона в электронной  форме: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.05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.2025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11:00 (время московское) 2025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jc w:val="both"/>
        <w:keepNext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8. Начальная цена предмета аукциона 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электронной форме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а также «шаг аукциона»;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tbl>
      <w:tblPr>
        <w:tblW w:w="6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2596"/>
        <w:gridCol w:w="2947"/>
      </w:tblGrid>
      <w:tr>
        <w:tblPrEx/>
        <w:trPr>
          <w:jc w:val="center"/>
          <w:trHeight w:val="262"/>
        </w:trPr>
        <w:tc>
          <w:tcPr>
            <w:shd w:val="clear" w:color="auto" w:fill="auto"/>
            <w:tcW w:w="1009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лота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59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Начальная цена предмета аукциона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электронной форме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(НЦПА) (руб.)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«Шаг аукциона» (руб.)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both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(5 процентов НЦПА)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508"/>
        </w:trPr>
        <w:tc>
          <w:tcPr>
            <w:shd w:val="clear" w:color="auto" w:fill="auto"/>
            <w:tcW w:w="1009" w:type="dxa"/>
            <w:vAlign w:val="center"/>
            <w:textDirection w:val="lrTb"/>
            <w:noWrap/>
          </w:tcPr>
          <w:p>
            <w:pPr>
              <w:contextualSpacing/>
              <w:jc w:val="both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W w:w="2596" w:type="dxa"/>
            <w:vAlign w:val="center"/>
            <w:textDirection w:val="lrTb"/>
            <w:noWrap/>
          </w:tcPr>
          <w:p>
            <w:pPr>
              <w:contextualSpacing/>
              <w:jc w:val="both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55120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W w:w="2947" w:type="dxa"/>
            <w:vAlign w:val="center"/>
            <w:textDirection w:val="lrTb"/>
            <w:noWrap/>
          </w:tcPr>
          <w:p>
            <w:pPr>
              <w:contextualSpacing/>
              <w:jc w:val="both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2756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contextualSpacing/>
        <w:jc w:val="both"/>
        <w:keepNext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</w:p>
    <w:p>
      <w:pPr>
        <w:contextualSpacing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азмер задатка,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 также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его внесения и возврата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tbl>
      <w:tblPr>
        <w:tblW w:w="3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410"/>
      </w:tblGrid>
      <w:tr>
        <w:tblPrEx/>
        <w:trPr>
          <w:jc w:val="center"/>
          <w:trHeight w:val="262"/>
        </w:trPr>
        <w:tc>
          <w:tcPr>
            <w:shd w:val="clear" w:color="auto" w:fill="auto"/>
            <w:tcW w:w="1291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лота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Размер задатка    (руб.) 40 процентов     НЦПА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jc w:val="center"/>
          <w:trHeight w:val="423"/>
        </w:trPr>
        <w:tc>
          <w:tcPr>
            <w:shd w:val="clear" w:color="auto" w:fill="auto"/>
            <w:tcW w:w="1291" w:type="dxa"/>
            <w:vAlign w:val="center"/>
            <w:textDirection w:val="lrTb"/>
            <w:noWrap/>
          </w:tcPr>
          <w:p>
            <w:pPr>
              <w:contextualSpacing/>
              <w:jc w:val="both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000000" w:fill="ffffff"/>
            <w:tcW w:w="2410" w:type="dxa"/>
            <w:vAlign w:val="center"/>
            <w:textDirection w:val="lrTb"/>
            <w:noWrap/>
          </w:tcPr>
          <w:p>
            <w:pPr>
              <w:contextualSpacing/>
              <w:ind w:firstLine="540"/>
              <w:jc w:val="both"/>
              <w:keepNext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22048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contextualSpacing/>
        <w:ind w:firstLine="540"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ind w:firstLine="540"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ind w:firstLine="540"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ind w:firstLine="540"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540"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ind w:firstLine="540"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Порядок внесения заявителями задатка: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ind w:firstLine="540"/>
        <w:jc w:val="both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Задаток для участия в аукционах в электронной форме вносится участни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ком аукциона в электронной форме только путем зачисления денежных средств на лицевой счет, открытый участнику аукциона в электронной форме оператором электронной площадки для учета проведения операций по обеспечению участия в аукционах в электронной форме.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Размер вносимого участниками аукциона в электронной форме задатка определяется в соответствии с пунктом 84 настоящих Правил.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contextualSpacing/>
        <w:ind w:firstLine="540"/>
        <w:jc w:val="both"/>
        <w:keepNext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ind w:firstLine="540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Порядок возврата заявителям задатка: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contextualSpacing/>
        <w:ind w:firstLine="540"/>
        <w:keepNext/>
        <w:spacing w:after="0" w:line="240" w:lineRule="auto"/>
        <w:widowControl w:val="o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Оператор электронной площадки обеспечивает возврат денежных средств участника аукциона в электронной форме, не признанного победителем аукциона в электронной форме, за исключением участника аукциона в электронной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форме, занявшего 2-е место, заблокированных в размере задатка на лицевом счете электронной площадки, в течение 5 рабочих дней со дня размещения организатором аукциона в электронной форме протокола аукциона в электронной форме на сайте электронной площадки.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Оператор электронной площадки обеспечивает разблокировку денежных средств победителя аукциона в электронной форме и участника аукциона в электронной форме, занявшего 2-е место, заблокированных в размере зада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тка на лицевом счете электронной площадки, в течение 5 рабочих дней со дня размещения организатором аукциона в электронной форме на официальном сайте и сайте электронной площадки уведомления о заключении договора, а также перечисляет денежные средства лица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 которым заключен договор, организатору аукциона в электронной форме (с учетом пунктов 166 и 167 настоящих Правил)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ind w:right="5"/>
        <w:jc w:val="both"/>
        <w:spacing w:after="0" w:line="264" w:lineRule="exact"/>
        <w:shd w:val="clear" w:color="auto" w:fill="ffffff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10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  Срок отмены проведения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аукционна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электронной форме.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Организатор аукциона в электронной форме вправе принять решение об отмене проведения аукциона в электронной форме в сроки, установленные Гражданским </w:t>
      </w:r>
      <w:hyperlink r:id="rId12" w:tooltip="consultantplus://offline/ref=5A121865986149A330515103298890822802E32254615ABA2131B75F096A344287203E5AFCC9B33C9A14AF5195P3e1J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кодексом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Российской Федерации, в случаях отмены определенных в установленном порядке границ рыбоводных участков либо внесения в них в установленном порядке изменений. Отмена проведения аукциона в электронной форме по иным основаниям не допускается.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Извещение об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отмене проведения аукциона в электронной форме размещается организатором аукциона в электронной форме на официальном сайте и сайте электронной площадки в течение одного рабочего дня со дня принятия решения об отмене проведения аукциона в электронной форме.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Оператор электронной площадки обеспечивает уведомление участников аукциона в электронной форме, подавших заявки, об отмене аукциона в электронной форме.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ind w:firstLine="540"/>
        <w:jc w:val="both"/>
        <w:spacing w:before="200"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Оператор электронной площадки обеспечивает возврат участникам аукциона в эл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ектронной форме, подавшим заявки, денежных средств, внесенных в качестве задатка, в течение 5 рабочих дней со дня размещения организатором аукциона в электронной форме на сайте электронной площадки решения об отмене проведения аукциона в электронной форме.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</w:r>
    </w:p>
    <w:sectPr>
      <w:footnotePr/>
      <w:endnotePr/>
      <w:type w:val="nextPage"/>
      <w:pgSz w:w="11907" w:h="16839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035" w:hanging="651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7035" w:hanging="651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7035" w:hanging="651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7035" w:hanging="651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7035" w:hanging="651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7035" w:hanging="651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7035" w:hanging="651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7035" w:hanging="651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paragraph" w:styleId="63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32">
    <w:name w:val="Hyperlink"/>
    <w:uiPriority w:val="99"/>
    <w:unhideWhenUsed/>
    <w:rPr>
      <w:color w:val="0000ff"/>
      <w:u w:val="single"/>
    </w:rPr>
  </w:style>
  <w:style w:type="paragraph" w:styleId="633">
    <w:name w:val="Body Text"/>
    <w:basedOn w:val="627"/>
    <w:link w:val="634"/>
    <w:uiPriority w:val="99"/>
    <w:unhideWhenUsed/>
    <w:pPr>
      <w:spacing w:after="120"/>
    </w:pPr>
  </w:style>
  <w:style w:type="character" w:styleId="634" w:customStyle="1">
    <w:name w:val="Основной текст Знак"/>
    <w:basedOn w:val="628"/>
    <w:link w:val="633"/>
    <w:uiPriority w:val="99"/>
    <w:rPr>
      <w:rFonts w:ascii="Calibri" w:hAnsi="Calibri" w:eastAsia="Calibri" w:cs="Times New Roman"/>
    </w:rPr>
  </w:style>
  <w:style w:type="paragraph" w:styleId="635">
    <w:name w:val="List Paragraph"/>
    <w:basedOn w:val="627"/>
    <w:uiPriority w:val="34"/>
    <w:qFormat/>
    <w:pPr>
      <w:contextualSpacing/>
      <w:ind w:left="720"/>
    </w:pPr>
  </w:style>
  <w:style w:type="paragraph" w:styleId="636">
    <w:name w:val="Balloon Text"/>
    <w:basedOn w:val="627"/>
    <w:link w:val="6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7" w:customStyle="1">
    <w:name w:val="Текст выноски Знак"/>
    <w:basedOn w:val="628"/>
    <w:link w:val="636"/>
    <w:uiPriority w:val="99"/>
    <w:semiHidden/>
    <w:rPr>
      <w:rFonts w:ascii="Tahoma" w:hAnsi="Tahoma" w:eastAsia="Calibri" w:cs="Tahoma"/>
      <w:sz w:val="16"/>
      <w:szCs w:val="16"/>
    </w:rPr>
  </w:style>
  <w:style w:type="paragraph" w:styleId="638" w:customStyle="1">
    <w:name w:val="Table Paragraph"/>
    <w:basedOn w:val="627"/>
    <w:uiPriority w:val="1"/>
    <w:qFormat/>
    <w:pPr>
      <w:ind w:right="2"/>
      <w:jc w:val="center"/>
      <w:spacing w:before="25" w:after="0" w:line="240" w:lineRule="auto"/>
      <w:widowControl w:val="off"/>
    </w:pPr>
    <w:rPr>
      <w:rFonts w:ascii="Times New Roman" w:hAnsi="Times New Roman" w:eastAsia="Times New Roman"/>
    </w:rPr>
  </w:style>
  <w:style w:type="table" w:styleId="639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40">
    <w:name w:val="Table Grid"/>
    <w:basedOn w:val="62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41" w:customStyle="1">
    <w:name w:val="Основной текст (2) + Calibri;12 pt"/>
    <w:rPr>
      <w:rFonts w:ascii="Calibri" w:hAnsi="Calibri" w:eastAsia="Calibri" w:cs="Calibri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642" w:customStyle="1">
    <w:name w:val="block-info-serp__left"/>
    <w:basedOn w:val="62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t-online.ru/" TargetMode="External"/><Relationship Id="rId11" Type="http://schemas.openxmlformats.org/officeDocument/2006/relationships/image" Target="media/image1.jpg"/><Relationship Id="rId12" Type="http://schemas.openxmlformats.org/officeDocument/2006/relationships/hyperlink" Target="consultantplus://offline/ref=5A121865986149A330515103298890822802E32254615ABA2131B75F096A344287203E5AFCC9B33C9A14AF5195P3e1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CDCA-1267-4967-B156-81277B98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Абдурашид Эльдарханов</dc:creator>
  <cp:keywords/>
  <dc:description/>
  <cp:lastModifiedBy>tzi@sktu.fish.gov.ru</cp:lastModifiedBy>
  <cp:revision>426</cp:revision>
  <dcterms:created xsi:type="dcterms:W3CDTF">2022-07-25T07:08:00Z</dcterms:created>
  <dcterms:modified xsi:type="dcterms:W3CDTF">2025-04-14T14:10:02Z</dcterms:modified>
</cp:coreProperties>
</file>